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33" w:rsidRDefault="00D03233" w:rsidP="00D03233">
      <w:pPr>
        <w:pStyle w:val="Default"/>
      </w:pPr>
    </w:p>
    <w:p w:rsidR="00D03233" w:rsidRDefault="00D03233" w:rsidP="00D0323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Результаты </w:t>
      </w:r>
    </w:p>
    <w:p w:rsidR="00D03233" w:rsidRDefault="00D03233" w:rsidP="00D032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независимой оценки качества оказания услуг </w:t>
      </w:r>
      <w:proofErr w:type="spellStart"/>
      <w:r>
        <w:rPr>
          <w:b/>
          <w:bCs/>
          <w:sz w:val="28"/>
          <w:szCs w:val="28"/>
        </w:rPr>
        <w:t>культурно-досуговыми</w:t>
      </w:r>
      <w:proofErr w:type="spellEnd"/>
      <w:r>
        <w:rPr>
          <w:b/>
          <w:bCs/>
          <w:sz w:val="28"/>
          <w:szCs w:val="28"/>
        </w:rPr>
        <w:t xml:space="preserve"> учреждениями Новосибирской области, проведенной комиссией по независимой оценке качества общественного совета при министерстве культуры Новосибирской области 6 сентября 2017 года </w:t>
      </w:r>
    </w:p>
    <w:p w:rsidR="00D03233" w:rsidRDefault="00D03233" w:rsidP="00D032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(с учетом информации, предоставленной организацией – оператором ООО «Эмпирика») </w:t>
      </w:r>
    </w:p>
    <w:p w:rsidR="00D03233" w:rsidRDefault="00D03233" w:rsidP="00D032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Интегральное значение независимой оценки </w:t>
      </w:r>
    </w:p>
    <w:p w:rsidR="00D03233" w:rsidRDefault="00D03233" w:rsidP="00D032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(Интегральное значение по совокупности общих критериев рассчитывается как сумма значений </w:t>
      </w:r>
      <w:proofErr w:type="spellStart"/>
      <w:r>
        <w:rPr>
          <w:sz w:val="28"/>
          <w:szCs w:val="28"/>
        </w:rPr>
        <w:t>критер</w:t>
      </w:r>
      <w:proofErr w:type="spellEnd"/>
      <w:proofErr w:type="gramEnd"/>
    </w:p>
    <w:tbl>
      <w:tblPr>
        <w:tblStyle w:val="a3"/>
        <w:tblW w:w="14000" w:type="dxa"/>
        <w:tblLook w:val="04A0"/>
      </w:tblPr>
      <w:tblGrid>
        <w:gridCol w:w="451"/>
        <w:gridCol w:w="1862"/>
        <w:gridCol w:w="1691"/>
        <w:gridCol w:w="1553"/>
        <w:gridCol w:w="1893"/>
        <w:gridCol w:w="1885"/>
        <w:gridCol w:w="2437"/>
        <w:gridCol w:w="2228"/>
      </w:tblGrid>
      <w:tr w:rsidR="00D03233" w:rsidTr="00D03233">
        <w:tc>
          <w:tcPr>
            <w:tcW w:w="451" w:type="dxa"/>
          </w:tcPr>
          <w:p w:rsidR="00D03233" w:rsidRDefault="00D03233" w:rsidP="00D03233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1862" w:type="dxa"/>
          </w:tcPr>
          <w:p w:rsidR="00D03233" w:rsidRDefault="00D03233" w:rsidP="00D03233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Учреждения</w:t>
            </w:r>
          </w:p>
        </w:tc>
        <w:tc>
          <w:tcPr>
            <w:tcW w:w="1691" w:type="dxa"/>
          </w:tcPr>
          <w:p w:rsidR="00D03233" w:rsidRDefault="00D03233" w:rsidP="00D03233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Интегральное значение по совокупности общих критериев</w:t>
            </w:r>
          </w:p>
        </w:tc>
        <w:tc>
          <w:tcPr>
            <w:tcW w:w="1553" w:type="dxa"/>
          </w:tcPr>
          <w:p w:rsidR="00D03233" w:rsidRDefault="00D03233" w:rsidP="006741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1 - критерий открытости и доступности информации об организации </w:t>
            </w:r>
          </w:p>
        </w:tc>
        <w:tc>
          <w:tcPr>
            <w:tcW w:w="1893" w:type="dxa"/>
          </w:tcPr>
          <w:p w:rsidR="00D03233" w:rsidRDefault="00D03233" w:rsidP="006741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2 - критерий комфортности условий предоставлений услуг и доступности их получения </w:t>
            </w:r>
          </w:p>
        </w:tc>
        <w:tc>
          <w:tcPr>
            <w:tcW w:w="1885" w:type="dxa"/>
          </w:tcPr>
          <w:p w:rsidR="00D03233" w:rsidRDefault="00D03233" w:rsidP="006741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3 - критерий времени ожидания предоставления услуги </w:t>
            </w:r>
          </w:p>
        </w:tc>
        <w:tc>
          <w:tcPr>
            <w:tcW w:w="2437" w:type="dxa"/>
          </w:tcPr>
          <w:p w:rsidR="00D03233" w:rsidRDefault="00D03233" w:rsidP="006741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4 - критерий доброжелательности, вежливости, компетентности работников организации </w:t>
            </w:r>
          </w:p>
        </w:tc>
        <w:tc>
          <w:tcPr>
            <w:tcW w:w="2228" w:type="dxa"/>
          </w:tcPr>
          <w:p w:rsidR="00D03233" w:rsidRDefault="00D03233" w:rsidP="006741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5 - критерий удовлетворенности качеством оказания </w:t>
            </w:r>
          </w:p>
        </w:tc>
      </w:tr>
      <w:tr w:rsidR="00D03233" w:rsidTr="00D03233">
        <w:tc>
          <w:tcPr>
            <w:tcW w:w="451" w:type="dxa"/>
          </w:tcPr>
          <w:p w:rsidR="00D03233" w:rsidRDefault="00D03233" w:rsidP="00D03233">
            <w:pPr>
              <w:pStyle w:val="Default"/>
            </w:pPr>
          </w:p>
        </w:tc>
        <w:tc>
          <w:tcPr>
            <w:tcW w:w="1862" w:type="dxa"/>
          </w:tcPr>
          <w:p w:rsidR="00D03233" w:rsidRDefault="00D03233" w:rsidP="00D03233">
            <w:pPr>
              <w:pStyle w:val="Default"/>
            </w:pPr>
            <w:r>
              <w:rPr>
                <w:sz w:val="23"/>
                <w:szCs w:val="23"/>
              </w:rPr>
              <w:t>МУ "Ярковский сельский дом культуры" муниципального образования Майского сельсовета Черепановского района</w:t>
            </w:r>
          </w:p>
        </w:tc>
        <w:tc>
          <w:tcPr>
            <w:tcW w:w="1691" w:type="dxa"/>
          </w:tcPr>
          <w:p w:rsidR="00D03233" w:rsidRDefault="00D03233" w:rsidP="00D03233">
            <w:pPr>
              <w:pStyle w:val="Default"/>
            </w:pPr>
            <w:r>
              <w:t>104,26</w:t>
            </w:r>
          </w:p>
        </w:tc>
        <w:tc>
          <w:tcPr>
            <w:tcW w:w="1553" w:type="dxa"/>
          </w:tcPr>
          <w:p w:rsidR="00D03233" w:rsidRDefault="00D03233" w:rsidP="00D03233">
            <w:pPr>
              <w:pStyle w:val="Default"/>
            </w:pPr>
            <w:r>
              <w:t>8,13</w:t>
            </w:r>
          </w:p>
        </w:tc>
        <w:tc>
          <w:tcPr>
            <w:tcW w:w="1893" w:type="dxa"/>
          </w:tcPr>
          <w:p w:rsidR="00D03233" w:rsidRDefault="00D03233" w:rsidP="00D03233">
            <w:pPr>
              <w:pStyle w:val="Default"/>
            </w:pPr>
            <w:r>
              <w:t>32,29</w:t>
            </w:r>
          </w:p>
        </w:tc>
        <w:tc>
          <w:tcPr>
            <w:tcW w:w="1885" w:type="dxa"/>
          </w:tcPr>
          <w:p w:rsidR="00D03233" w:rsidRDefault="00D03233" w:rsidP="00D03233">
            <w:pPr>
              <w:pStyle w:val="Default"/>
            </w:pPr>
            <w:r>
              <w:t>17,72</w:t>
            </w:r>
          </w:p>
        </w:tc>
        <w:tc>
          <w:tcPr>
            <w:tcW w:w="2437" w:type="dxa"/>
          </w:tcPr>
          <w:p w:rsidR="00D03233" w:rsidRDefault="00D03233" w:rsidP="00D03233">
            <w:pPr>
              <w:pStyle w:val="Default"/>
            </w:pPr>
            <w:r>
              <w:t>17,59</w:t>
            </w:r>
          </w:p>
        </w:tc>
        <w:tc>
          <w:tcPr>
            <w:tcW w:w="2228" w:type="dxa"/>
          </w:tcPr>
          <w:p w:rsidR="00D03233" w:rsidRDefault="00D03233" w:rsidP="00D03233">
            <w:pPr>
              <w:pStyle w:val="Default"/>
            </w:pPr>
            <w:r>
              <w:t>28,53</w:t>
            </w:r>
          </w:p>
        </w:tc>
      </w:tr>
    </w:tbl>
    <w:p w:rsidR="00D03233" w:rsidRDefault="00D03233" w:rsidP="00D0323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25"/>
        <w:gridCol w:w="1925"/>
        <w:gridCol w:w="1925"/>
      </w:tblGrid>
      <w:tr w:rsidR="00D03233" w:rsidTr="00D03233">
        <w:trPr>
          <w:trHeight w:val="939"/>
        </w:trPr>
        <w:tc>
          <w:tcPr>
            <w:tcW w:w="1925" w:type="dxa"/>
          </w:tcPr>
          <w:p w:rsidR="00D03233" w:rsidRDefault="00D03233" w:rsidP="00D0323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</w:p>
        </w:tc>
        <w:tc>
          <w:tcPr>
            <w:tcW w:w="1925" w:type="dxa"/>
          </w:tcPr>
          <w:p w:rsidR="00D03233" w:rsidRDefault="00D032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5" w:type="dxa"/>
          </w:tcPr>
          <w:p w:rsidR="00D03233" w:rsidRDefault="00D0323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85F14" w:rsidRDefault="00585F14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F14" w:rsidRDefault="00585F14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F14" w:rsidRDefault="00585F14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233" w:rsidRPr="003A72C9" w:rsidRDefault="00D03233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72C9">
        <w:rPr>
          <w:rFonts w:ascii="Times New Roman" w:hAnsi="Times New Roman" w:cs="Times New Roman"/>
          <w:b/>
          <w:sz w:val="28"/>
          <w:szCs w:val="28"/>
        </w:rPr>
        <w:lastRenderedPageBreak/>
        <w:t>2. Значение независимой оценки  по общим критериям</w:t>
      </w:r>
      <w:r w:rsidR="003A72C9" w:rsidRPr="003A72C9">
        <w:rPr>
          <w:rFonts w:ascii="Times New Roman" w:hAnsi="Times New Roman" w:cs="Times New Roman"/>
          <w:b/>
          <w:sz w:val="28"/>
          <w:szCs w:val="28"/>
        </w:rPr>
        <w:t xml:space="preserve"> и характеризующим их показателям</w:t>
      </w:r>
    </w:p>
    <w:p w:rsidR="003A72C9" w:rsidRDefault="003A72C9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72C9">
        <w:rPr>
          <w:rFonts w:ascii="Times New Roman" w:hAnsi="Times New Roman" w:cs="Times New Roman"/>
          <w:b/>
          <w:sz w:val="28"/>
          <w:szCs w:val="28"/>
        </w:rPr>
        <w:t>Значение по критерию рассчитывается как сумма значений показателей его составляющих</w:t>
      </w:r>
      <w:proofErr w:type="gramStart"/>
      <w:r w:rsidRPr="003A72C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A72C9">
        <w:rPr>
          <w:rFonts w:ascii="Times New Roman" w:hAnsi="Times New Roman" w:cs="Times New Roman"/>
          <w:b/>
          <w:sz w:val="28"/>
          <w:szCs w:val="28"/>
        </w:rPr>
        <w:t xml:space="preserve">аксимальное количество баллов по каждому показателю составляет 10 баллов, значение каждого рассчитывается кА среднее арифметическое между значением по результатам </w:t>
      </w:r>
      <w:proofErr w:type="spellStart"/>
      <w:r w:rsidRPr="003A72C9">
        <w:rPr>
          <w:rFonts w:ascii="Times New Roman" w:hAnsi="Times New Roman" w:cs="Times New Roman"/>
          <w:b/>
          <w:sz w:val="28"/>
          <w:szCs w:val="28"/>
        </w:rPr>
        <w:t>контент</w:t>
      </w:r>
      <w:proofErr w:type="spellEnd"/>
      <w:r w:rsidRPr="003A72C9">
        <w:rPr>
          <w:rFonts w:ascii="Times New Roman" w:hAnsi="Times New Roman" w:cs="Times New Roman"/>
          <w:b/>
          <w:sz w:val="28"/>
          <w:szCs w:val="28"/>
        </w:rPr>
        <w:t xml:space="preserve"> анализа официального сайта учреждения и значения по результатам опроса получателей услуг данного учреждения.</w:t>
      </w:r>
    </w:p>
    <w:p w:rsidR="00745B9F" w:rsidRPr="003A72C9" w:rsidRDefault="00745B9F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2C9" w:rsidRDefault="003A72C9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72C9">
        <w:rPr>
          <w:rFonts w:ascii="Times New Roman" w:hAnsi="Times New Roman" w:cs="Times New Roman"/>
          <w:b/>
          <w:sz w:val="28"/>
          <w:szCs w:val="28"/>
        </w:rPr>
        <w:t>1 критерий: открытость и доступность информации об организации культуры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A72C9" w:rsidTr="009E6927">
        <w:tc>
          <w:tcPr>
            <w:tcW w:w="2957" w:type="dxa"/>
            <w:vMerge w:val="restart"/>
          </w:tcPr>
          <w:p w:rsidR="003A72C9" w:rsidRDefault="003A72C9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2C9" w:rsidRDefault="003A72C9" w:rsidP="003A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9" w:rsidRDefault="003A72C9" w:rsidP="003A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C9" w:rsidRPr="003A72C9" w:rsidRDefault="003A72C9" w:rsidP="003A72C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829" w:type="dxa"/>
            <w:gridSpan w:val="4"/>
          </w:tcPr>
          <w:p w:rsidR="003A72C9" w:rsidRDefault="003A72C9" w:rsidP="003A72C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показатели критерия</w:t>
            </w:r>
          </w:p>
        </w:tc>
      </w:tr>
      <w:tr w:rsidR="003A72C9" w:rsidTr="003A72C9">
        <w:tc>
          <w:tcPr>
            <w:tcW w:w="2957" w:type="dxa"/>
            <w:vMerge/>
          </w:tcPr>
          <w:p w:rsidR="003A72C9" w:rsidRDefault="003A72C9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A72C9" w:rsidRDefault="003A72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№ 27 </w:t>
            </w:r>
          </w:p>
        </w:tc>
        <w:tc>
          <w:tcPr>
            <w:tcW w:w="2957" w:type="dxa"/>
          </w:tcPr>
          <w:p w:rsidR="003A72C9" w:rsidRDefault="003A72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№ 277 </w:t>
            </w:r>
          </w:p>
        </w:tc>
        <w:tc>
          <w:tcPr>
            <w:tcW w:w="2957" w:type="dxa"/>
          </w:tcPr>
          <w:p w:rsidR="003A72C9" w:rsidRDefault="003A72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2958" w:type="dxa"/>
          </w:tcPr>
          <w:p w:rsidR="003A72C9" w:rsidRDefault="003A72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Интегральное значение критерия </w:t>
            </w:r>
          </w:p>
        </w:tc>
      </w:tr>
      <w:tr w:rsidR="003A72C9" w:rsidTr="003A72C9">
        <w:tc>
          <w:tcPr>
            <w:tcW w:w="2957" w:type="dxa"/>
          </w:tcPr>
          <w:p w:rsidR="003A72C9" w:rsidRPr="00745B9F" w:rsidRDefault="00745B9F" w:rsidP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 "Ярковский сельский дом культуры" муниципального образования Майского сельсовета Черепановского района </w:t>
            </w:r>
          </w:p>
        </w:tc>
        <w:tc>
          <w:tcPr>
            <w:tcW w:w="2957" w:type="dxa"/>
          </w:tcPr>
          <w:p w:rsidR="003A72C9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57" w:type="dxa"/>
          </w:tcPr>
          <w:p w:rsidR="003A72C9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57" w:type="dxa"/>
          </w:tcPr>
          <w:p w:rsidR="003A72C9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8,13</w:t>
            </w:r>
          </w:p>
        </w:tc>
        <w:tc>
          <w:tcPr>
            <w:tcW w:w="2958" w:type="dxa"/>
          </w:tcPr>
          <w:p w:rsidR="003A72C9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8,13</w:t>
            </w:r>
          </w:p>
        </w:tc>
      </w:tr>
    </w:tbl>
    <w:p w:rsidR="003A72C9" w:rsidRDefault="00745B9F" w:rsidP="003A7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критерий: комфортность условий предоставления услуг и доступность их получения</w:t>
      </w:r>
    </w:p>
    <w:tbl>
      <w:tblPr>
        <w:tblStyle w:val="a3"/>
        <w:tblW w:w="0" w:type="auto"/>
        <w:tblLook w:val="04A0"/>
      </w:tblPr>
      <w:tblGrid>
        <w:gridCol w:w="2879"/>
        <w:gridCol w:w="2191"/>
        <w:gridCol w:w="1862"/>
        <w:gridCol w:w="2782"/>
        <w:gridCol w:w="1451"/>
        <w:gridCol w:w="1843"/>
        <w:gridCol w:w="1778"/>
      </w:tblGrid>
      <w:tr w:rsidR="00745B9F" w:rsidTr="00745B9F">
        <w:tc>
          <w:tcPr>
            <w:tcW w:w="2879" w:type="dxa"/>
            <w:vMerge w:val="restart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907" w:type="dxa"/>
            <w:gridSpan w:val="6"/>
          </w:tcPr>
          <w:p w:rsidR="00745B9F" w:rsidRPr="00745B9F" w:rsidRDefault="00745B9F" w:rsidP="00745B9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показатели критерия</w:t>
            </w:r>
          </w:p>
        </w:tc>
      </w:tr>
      <w:tr w:rsidR="00745B9F" w:rsidTr="00745B9F">
        <w:tc>
          <w:tcPr>
            <w:tcW w:w="2879" w:type="dxa"/>
            <w:vMerge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745B9F" w:rsidRPr="00745B9F" w:rsidRDefault="00745B9F" w:rsidP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Комфортность условий пребывания в организации культуры </w:t>
            </w:r>
          </w:p>
        </w:tc>
        <w:tc>
          <w:tcPr>
            <w:tcW w:w="1862" w:type="dxa"/>
          </w:tcPr>
          <w:p w:rsidR="00745B9F" w:rsidRDefault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дополнительных услуг и доступность их получения </w:t>
            </w:r>
          </w:p>
        </w:tc>
        <w:tc>
          <w:tcPr>
            <w:tcW w:w="2782" w:type="dxa"/>
          </w:tcPr>
          <w:p w:rsidR="00745B9F" w:rsidRDefault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Удобство пользования электронными сервисами, предоставляемыми учреждением посетителям </w:t>
            </w:r>
          </w:p>
        </w:tc>
        <w:tc>
          <w:tcPr>
            <w:tcW w:w="1451" w:type="dxa"/>
          </w:tcPr>
          <w:p w:rsidR="00745B9F" w:rsidRDefault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Удобство графика работы организации культуры </w:t>
            </w:r>
          </w:p>
        </w:tc>
        <w:tc>
          <w:tcPr>
            <w:tcW w:w="1843" w:type="dxa"/>
          </w:tcPr>
          <w:p w:rsidR="00745B9F" w:rsidRDefault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Доступность услуг для лиц с ограниченными возможностями здоровья </w:t>
            </w:r>
          </w:p>
        </w:tc>
        <w:tc>
          <w:tcPr>
            <w:tcW w:w="1778" w:type="dxa"/>
          </w:tcPr>
          <w:p w:rsidR="00745B9F" w:rsidRDefault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Интегральное значение </w:t>
            </w:r>
            <w:proofErr w:type="spellStart"/>
            <w:r>
              <w:rPr>
                <w:sz w:val="23"/>
                <w:szCs w:val="23"/>
              </w:rPr>
              <w:t>критери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745B9F" w:rsidTr="00745B9F">
        <w:tc>
          <w:tcPr>
            <w:tcW w:w="2879" w:type="dxa"/>
          </w:tcPr>
          <w:p w:rsidR="00745B9F" w:rsidRP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9F">
              <w:rPr>
                <w:rFonts w:ascii="Times New Roman" w:hAnsi="Times New Roman" w:cs="Times New Roman"/>
                <w:sz w:val="23"/>
                <w:szCs w:val="23"/>
              </w:rPr>
              <w:t xml:space="preserve">МУ "Ярковский сельский дом культуры" </w:t>
            </w:r>
            <w:r w:rsidRPr="00745B9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образования Майского сельсовета Черепановского района</w:t>
            </w:r>
          </w:p>
        </w:tc>
        <w:tc>
          <w:tcPr>
            <w:tcW w:w="2191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7,95</w:t>
            </w:r>
          </w:p>
        </w:tc>
        <w:tc>
          <w:tcPr>
            <w:tcW w:w="1862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7,66</w:t>
            </w:r>
          </w:p>
        </w:tc>
        <w:tc>
          <w:tcPr>
            <w:tcW w:w="2782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6,09</w:t>
            </w:r>
          </w:p>
        </w:tc>
        <w:tc>
          <w:tcPr>
            <w:tcW w:w="1451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8,44</w:t>
            </w:r>
          </w:p>
        </w:tc>
        <w:tc>
          <w:tcPr>
            <w:tcW w:w="1843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2,14</w:t>
            </w:r>
          </w:p>
        </w:tc>
        <w:tc>
          <w:tcPr>
            <w:tcW w:w="1778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32,29</w:t>
            </w:r>
          </w:p>
        </w:tc>
      </w:tr>
    </w:tbl>
    <w:p w:rsidR="00745B9F" w:rsidRDefault="00745B9F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745B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критерий</w:t>
      </w:r>
      <w:r>
        <w:rPr>
          <w:rFonts w:ascii="Times New Roman" w:hAnsi="Times New Roman" w:cs="Times New Roman"/>
          <w:b/>
          <w:sz w:val="28"/>
          <w:szCs w:val="28"/>
        </w:rPr>
        <w:t>: Время ожидания предоставление услуги</w:t>
      </w:r>
    </w:p>
    <w:tbl>
      <w:tblPr>
        <w:tblStyle w:val="a3"/>
        <w:tblW w:w="0" w:type="auto"/>
        <w:tblLook w:val="04A0"/>
      </w:tblPr>
      <w:tblGrid>
        <w:gridCol w:w="3695"/>
        <w:gridCol w:w="3074"/>
        <w:gridCol w:w="4317"/>
        <w:gridCol w:w="3700"/>
      </w:tblGrid>
      <w:tr w:rsidR="00745B9F" w:rsidTr="004E0D32">
        <w:tc>
          <w:tcPr>
            <w:tcW w:w="3695" w:type="dxa"/>
            <w:vMerge w:val="restart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091" w:type="dxa"/>
            <w:gridSpan w:val="3"/>
          </w:tcPr>
          <w:p w:rsidR="00745B9F" w:rsidRDefault="00745B9F" w:rsidP="00745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Общие показатели критерия</w:t>
            </w:r>
          </w:p>
        </w:tc>
      </w:tr>
      <w:tr w:rsidR="00745B9F" w:rsidTr="004E0D32">
        <w:tc>
          <w:tcPr>
            <w:tcW w:w="3695" w:type="dxa"/>
            <w:vMerge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745B9F" w:rsidRPr="00745B9F" w:rsidRDefault="00745B9F" w:rsidP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режима работы организацией культуры </w:t>
            </w:r>
          </w:p>
        </w:tc>
        <w:tc>
          <w:tcPr>
            <w:tcW w:w="4317" w:type="dxa"/>
          </w:tcPr>
          <w:p w:rsidR="00745B9F" w:rsidRDefault="00745B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установленных (заявленных) сроков предоставления услуг организацией культуры </w:t>
            </w:r>
          </w:p>
        </w:tc>
        <w:tc>
          <w:tcPr>
            <w:tcW w:w="3700" w:type="dxa"/>
          </w:tcPr>
          <w:p w:rsidR="004E0D32" w:rsidRDefault="004E0D32" w:rsidP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Интегральное значение критерия </w:t>
            </w:r>
          </w:p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B9F" w:rsidTr="004E0D32">
        <w:tc>
          <w:tcPr>
            <w:tcW w:w="3695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9F">
              <w:rPr>
                <w:rFonts w:ascii="Times New Roman" w:hAnsi="Times New Roman" w:cs="Times New Roman"/>
                <w:sz w:val="23"/>
                <w:szCs w:val="23"/>
              </w:rPr>
              <w:t>МУ "Ярковский сельский дом культуры" муниципального образования Майского сельсовета Черепановского района</w:t>
            </w:r>
          </w:p>
        </w:tc>
        <w:tc>
          <w:tcPr>
            <w:tcW w:w="3074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8,81</w:t>
            </w:r>
          </w:p>
        </w:tc>
        <w:tc>
          <w:tcPr>
            <w:tcW w:w="4317" w:type="dxa"/>
          </w:tcPr>
          <w:p w:rsidR="00745B9F" w:rsidRDefault="00745B9F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8,91</w:t>
            </w:r>
          </w:p>
        </w:tc>
        <w:tc>
          <w:tcPr>
            <w:tcW w:w="3700" w:type="dxa"/>
          </w:tcPr>
          <w:p w:rsidR="00745B9F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17,72</w:t>
            </w:r>
          </w:p>
        </w:tc>
      </w:tr>
    </w:tbl>
    <w:p w:rsidR="00745B9F" w:rsidRDefault="004E0D32" w:rsidP="003A7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критерий: доброжелательность, вежливость, компетентность работников организации культуры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E0D32" w:rsidTr="00223B18">
        <w:tc>
          <w:tcPr>
            <w:tcW w:w="3696" w:type="dxa"/>
            <w:vMerge w:val="restart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090" w:type="dxa"/>
            <w:gridSpan w:val="3"/>
          </w:tcPr>
          <w:p w:rsidR="004E0D32" w:rsidRDefault="004E0D32" w:rsidP="004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Общие показатели критерия</w:t>
            </w:r>
          </w:p>
        </w:tc>
      </w:tr>
      <w:tr w:rsidR="004E0D32" w:rsidTr="004E0D32">
        <w:tc>
          <w:tcPr>
            <w:tcW w:w="3696" w:type="dxa"/>
            <w:vMerge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4E0D32" w:rsidRPr="004E0D32" w:rsidRDefault="004E0D32" w:rsidP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Доброжелательность и вежливость персонала организации культуры </w:t>
            </w:r>
          </w:p>
        </w:tc>
        <w:tc>
          <w:tcPr>
            <w:tcW w:w="3697" w:type="dxa"/>
          </w:tcPr>
          <w:p w:rsidR="004E0D32" w:rsidRDefault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Компетентность персонала организации культуры </w:t>
            </w:r>
          </w:p>
        </w:tc>
        <w:tc>
          <w:tcPr>
            <w:tcW w:w="3697" w:type="dxa"/>
          </w:tcPr>
          <w:p w:rsidR="004E0D32" w:rsidRDefault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Интегральное значение критерия </w:t>
            </w:r>
          </w:p>
        </w:tc>
      </w:tr>
      <w:tr w:rsidR="004E0D32" w:rsidTr="004E0D32">
        <w:tc>
          <w:tcPr>
            <w:tcW w:w="3696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9F">
              <w:rPr>
                <w:rFonts w:ascii="Times New Roman" w:hAnsi="Times New Roman" w:cs="Times New Roman"/>
                <w:sz w:val="23"/>
                <w:szCs w:val="23"/>
              </w:rPr>
              <w:t>МУ "Ярковский сельский дом культуры" муниципального образования Майского сельсовета Черепановского района</w:t>
            </w:r>
          </w:p>
        </w:tc>
        <w:tc>
          <w:tcPr>
            <w:tcW w:w="3696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8,98</w:t>
            </w:r>
          </w:p>
        </w:tc>
        <w:tc>
          <w:tcPr>
            <w:tcW w:w="3697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8,61</w:t>
            </w:r>
          </w:p>
        </w:tc>
        <w:tc>
          <w:tcPr>
            <w:tcW w:w="3697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17,59</w:t>
            </w:r>
          </w:p>
        </w:tc>
      </w:tr>
    </w:tbl>
    <w:p w:rsidR="004E0D32" w:rsidRDefault="004E0D32" w:rsidP="003A7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критерий: удовлетворенность качеством оказания услуг</w:t>
      </w:r>
    </w:p>
    <w:tbl>
      <w:tblPr>
        <w:tblStyle w:val="a3"/>
        <w:tblW w:w="0" w:type="auto"/>
        <w:tblLook w:val="04A0"/>
      </w:tblPr>
      <w:tblGrid>
        <w:gridCol w:w="2464"/>
        <w:gridCol w:w="2180"/>
        <w:gridCol w:w="2147"/>
        <w:gridCol w:w="3807"/>
        <w:gridCol w:w="2551"/>
        <w:gridCol w:w="1637"/>
      </w:tblGrid>
      <w:tr w:rsidR="004E0D32" w:rsidTr="00164796">
        <w:tc>
          <w:tcPr>
            <w:tcW w:w="2464" w:type="dxa"/>
            <w:vMerge w:val="restart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2322" w:type="dxa"/>
            <w:gridSpan w:val="5"/>
          </w:tcPr>
          <w:p w:rsidR="004E0D32" w:rsidRDefault="004E0D32" w:rsidP="004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Общие показатели критерия</w:t>
            </w:r>
          </w:p>
        </w:tc>
      </w:tr>
      <w:tr w:rsidR="004E0D32" w:rsidTr="004E0D32">
        <w:tc>
          <w:tcPr>
            <w:tcW w:w="2464" w:type="dxa"/>
            <w:vMerge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:rsidR="004E0D32" w:rsidRPr="004E0D32" w:rsidRDefault="004E0D32" w:rsidP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 оказания услуг организацией культуры в целом </w:t>
            </w:r>
          </w:p>
        </w:tc>
        <w:tc>
          <w:tcPr>
            <w:tcW w:w="2147" w:type="dxa"/>
          </w:tcPr>
          <w:p w:rsidR="004E0D32" w:rsidRDefault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материально-техническим обеспечением организации культуры </w:t>
            </w:r>
          </w:p>
        </w:tc>
        <w:tc>
          <w:tcPr>
            <w:tcW w:w="3807" w:type="dxa"/>
          </w:tcPr>
          <w:p w:rsidR="004E0D32" w:rsidRDefault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 </w:t>
            </w:r>
          </w:p>
        </w:tc>
        <w:tc>
          <w:tcPr>
            <w:tcW w:w="2551" w:type="dxa"/>
          </w:tcPr>
          <w:p w:rsidR="004E0D32" w:rsidRDefault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качеством и содержанием полиграфических материалов организации культуры </w:t>
            </w:r>
          </w:p>
        </w:tc>
        <w:tc>
          <w:tcPr>
            <w:tcW w:w="1637" w:type="dxa"/>
          </w:tcPr>
          <w:p w:rsidR="004E0D32" w:rsidRDefault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Интегральное значение критерия </w:t>
            </w:r>
          </w:p>
        </w:tc>
      </w:tr>
      <w:tr w:rsidR="004E0D32" w:rsidTr="004E0D32">
        <w:tc>
          <w:tcPr>
            <w:tcW w:w="2464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9F">
              <w:rPr>
                <w:rFonts w:ascii="Times New Roman" w:hAnsi="Times New Roman" w:cs="Times New Roman"/>
                <w:sz w:val="23"/>
                <w:szCs w:val="23"/>
              </w:rPr>
              <w:t xml:space="preserve">МУ "Ярковский сельский дом культуры" муниципального </w:t>
            </w:r>
            <w:r w:rsidRPr="00745B9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образования Майского сельсовета Черепановского района</w:t>
            </w:r>
          </w:p>
        </w:tc>
        <w:tc>
          <w:tcPr>
            <w:tcW w:w="2180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8,21</w:t>
            </w:r>
          </w:p>
        </w:tc>
        <w:tc>
          <w:tcPr>
            <w:tcW w:w="2147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6,41</w:t>
            </w:r>
          </w:p>
        </w:tc>
        <w:tc>
          <w:tcPr>
            <w:tcW w:w="3807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6,76</w:t>
            </w:r>
          </w:p>
        </w:tc>
        <w:tc>
          <w:tcPr>
            <w:tcW w:w="2551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7,14</w:t>
            </w:r>
          </w:p>
        </w:tc>
        <w:tc>
          <w:tcPr>
            <w:tcW w:w="1637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28,53</w:t>
            </w:r>
          </w:p>
        </w:tc>
      </w:tr>
    </w:tbl>
    <w:p w:rsidR="004E0D32" w:rsidRDefault="004E0D32" w:rsidP="003A7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Предложения, поступившие от респондентов по улучшению качества оказания услуг (с указанием количества респондентов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E0D32" w:rsidTr="004E0D32">
        <w:tc>
          <w:tcPr>
            <w:tcW w:w="7393" w:type="dxa"/>
          </w:tcPr>
          <w:p w:rsidR="004E0D32" w:rsidRDefault="004E0D32" w:rsidP="003A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9F">
              <w:rPr>
                <w:rFonts w:ascii="Times New Roman" w:hAnsi="Times New Roman" w:cs="Times New Roman"/>
                <w:sz w:val="23"/>
                <w:szCs w:val="23"/>
              </w:rPr>
              <w:t>МУ "Ярковский сельский дом культуры" муниципального образования Майского сельсовета Черепановского района</w:t>
            </w:r>
          </w:p>
        </w:tc>
        <w:tc>
          <w:tcPr>
            <w:tcW w:w="7393" w:type="dxa"/>
          </w:tcPr>
          <w:p w:rsidR="004E0D32" w:rsidRPr="004E0D32" w:rsidRDefault="004E0D32" w:rsidP="004E0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реквизита (1), замена кресел в зрительном зале (1), улучшение материально-технической базы (1) </w:t>
            </w:r>
          </w:p>
        </w:tc>
      </w:tr>
    </w:tbl>
    <w:p w:rsidR="004E0D32" w:rsidRPr="003A72C9" w:rsidRDefault="004E0D32" w:rsidP="003A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E0D32" w:rsidRPr="003A72C9" w:rsidSect="00AB65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5DB"/>
    <w:rsid w:val="00024B6F"/>
    <w:rsid w:val="003A72C9"/>
    <w:rsid w:val="004E0D32"/>
    <w:rsid w:val="00585F14"/>
    <w:rsid w:val="00745B9F"/>
    <w:rsid w:val="007E1F35"/>
    <w:rsid w:val="00AB65DB"/>
    <w:rsid w:val="00D03233"/>
    <w:rsid w:val="00D3749A"/>
    <w:rsid w:val="00DE2F51"/>
    <w:rsid w:val="00E1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3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2017-10-04T09:10:00Z</dcterms:created>
  <dcterms:modified xsi:type="dcterms:W3CDTF">2017-10-04T09:10:00Z</dcterms:modified>
</cp:coreProperties>
</file>