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FA" w:rsidRDefault="00213EFA" w:rsidP="00213EFA">
      <w:pPr>
        <w:tabs>
          <w:tab w:val="left" w:pos="-851"/>
        </w:tabs>
        <w:ind w:left="-851" w:firstLine="850"/>
        <w:jc w:val="center"/>
        <w:rPr>
          <w:b/>
          <w:sz w:val="32"/>
          <w:szCs w:val="32"/>
        </w:rPr>
      </w:pPr>
      <w:r>
        <w:rPr>
          <w:b/>
          <w:sz w:val="32"/>
          <w:szCs w:val="32"/>
        </w:rPr>
        <w:t>Наступила весна</w:t>
      </w:r>
      <w:r w:rsidR="002952C0" w:rsidRPr="002952C0">
        <w:rPr>
          <w:b/>
          <w:sz w:val="32"/>
          <w:szCs w:val="32"/>
        </w:rPr>
        <w:t>!</w:t>
      </w:r>
      <w:r>
        <w:rPr>
          <w:b/>
          <w:sz w:val="32"/>
          <w:szCs w:val="32"/>
        </w:rPr>
        <w:t xml:space="preserve"> </w:t>
      </w:r>
    </w:p>
    <w:p w:rsidR="002952C0" w:rsidRPr="002952C0" w:rsidRDefault="00213EFA" w:rsidP="00213EFA">
      <w:pPr>
        <w:tabs>
          <w:tab w:val="left" w:pos="-851"/>
        </w:tabs>
        <w:ind w:left="-851" w:firstLine="850"/>
        <w:jc w:val="center"/>
        <w:rPr>
          <w:b/>
          <w:sz w:val="32"/>
          <w:szCs w:val="32"/>
        </w:rPr>
      </w:pPr>
      <w:r>
        <w:rPr>
          <w:b/>
          <w:sz w:val="32"/>
          <w:szCs w:val="32"/>
        </w:rPr>
        <w:t>Соблюдай правила пожарной безопасности!</w:t>
      </w:r>
    </w:p>
    <w:p w:rsidR="002952C0" w:rsidRDefault="002952C0" w:rsidP="00213EFA">
      <w:pPr>
        <w:tabs>
          <w:tab w:val="left" w:pos="-851"/>
        </w:tabs>
        <w:ind w:left="-851" w:firstLine="850"/>
        <w:jc w:val="both"/>
      </w:pPr>
    </w:p>
    <w:p w:rsidR="00751C0D" w:rsidRDefault="00751C0D" w:rsidP="00213EFA">
      <w:pPr>
        <w:tabs>
          <w:tab w:val="left" w:pos="-851"/>
        </w:tabs>
        <w:ind w:left="-851" w:firstLine="850"/>
        <w:jc w:val="both"/>
      </w:pPr>
      <w:r>
        <w:t>Ежегодно с наступлением весенне-летнего пожароопасного периода на территории Черепановского района  резко увеличивается количество пожаров сухой травы и мусора. Основными причинами данных пожаров являются неосторожное обращения с огнем, сжигание мусора, разведения костров без соблюдения правил пожарной безопасности и т.п.    В основном рост количества пожаров в этот период обусловлен тем, что владельцы жилых домов и земельных участков при уборке территорий вместо вывоза мусора в специально отведенные места, сжигают его непосредственно вблизи строений, огонь неконтролируемо распространяется на здания, сооружения, наносит повреждения домам, надворным постройкам и даже здоровью и жизни людей.</w:t>
      </w:r>
    </w:p>
    <w:p w:rsidR="00751C0D" w:rsidRPr="00515573" w:rsidRDefault="00751C0D" w:rsidP="00213EFA">
      <w:pPr>
        <w:tabs>
          <w:tab w:val="left" w:pos="-851"/>
        </w:tabs>
        <w:ind w:left="-851" w:firstLine="850"/>
        <w:jc w:val="both"/>
        <w:rPr>
          <w:b/>
        </w:rPr>
      </w:pPr>
      <w:r w:rsidRPr="00515573">
        <w:rPr>
          <w:b/>
        </w:rPr>
        <w:t>Для того</w:t>
      </w:r>
      <w:proofErr w:type="gramStart"/>
      <w:r w:rsidRPr="00515573">
        <w:rPr>
          <w:b/>
        </w:rPr>
        <w:t>,</w:t>
      </w:r>
      <w:proofErr w:type="gramEnd"/>
      <w:r w:rsidRPr="00515573">
        <w:rPr>
          <w:b/>
        </w:rPr>
        <w:t xml:space="preserve"> чтобы избежать ущерба, требуется соблюдать элементарные правила, которые изложены в «Правилах противопожарного режима в Российской федерации»:</w:t>
      </w:r>
    </w:p>
    <w:p w:rsidR="00751C0D" w:rsidRDefault="00751C0D" w:rsidP="00213EFA">
      <w:pPr>
        <w:tabs>
          <w:tab w:val="left" w:pos="-851"/>
        </w:tabs>
        <w:ind w:left="-851" w:firstLine="850"/>
        <w:jc w:val="both"/>
      </w:pPr>
    </w:p>
    <w:p w:rsidR="00751C0D" w:rsidRDefault="00751C0D" w:rsidP="00213EFA">
      <w:pPr>
        <w:tabs>
          <w:tab w:val="left" w:pos="-851"/>
        </w:tabs>
        <w:ind w:left="-851" w:firstLine="850"/>
        <w:jc w:val="both"/>
      </w:pPr>
      <w:r>
        <w:t xml:space="preserve"> </w:t>
      </w:r>
      <w:r w:rsidR="002952C0">
        <w:t xml:space="preserve">Пункт </w:t>
      </w:r>
      <w:r>
        <w:t>15.</w:t>
      </w:r>
      <w:r w:rsidR="002952C0">
        <w:t xml:space="preserve"> </w:t>
      </w:r>
      <w:proofErr w:type="gramStart"/>
      <w:r w:rsidR="002952C0">
        <w:t>«</w:t>
      </w:r>
      <w:r>
        <w:t>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в границах территории ведения гражданами садоводства или огородничества для собственных нужд (далее - территория садоводства или огородничества),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r w:rsidR="002952C0">
        <w:t>»</w:t>
      </w:r>
      <w:r>
        <w:t>.</w:t>
      </w:r>
      <w:proofErr w:type="gramEnd"/>
    </w:p>
    <w:p w:rsidR="002952C0" w:rsidRDefault="002952C0" w:rsidP="00213EFA">
      <w:pPr>
        <w:tabs>
          <w:tab w:val="left" w:pos="-851"/>
        </w:tabs>
        <w:ind w:left="-851" w:firstLine="850"/>
        <w:jc w:val="both"/>
      </w:pPr>
    </w:p>
    <w:p w:rsidR="002952C0" w:rsidRDefault="002952C0" w:rsidP="00213EFA">
      <w:pPr>
        <w:tabs>
          <w:tab w:val="left" w:pos="-851"/>
        </w:tabs>
        <w:ind w:left="-851" w:firstLine="850"/>
        <w:jc w:val="both"/>
      </w:pPr>
      <w:r>
        <w:t>Пункт 17_1.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территории садоводства или огородничества обязаны производить регулярную уборку мусора и покос травы».</w:t>
      </w:r>
    </w:p>
    <w:p w:rsidR="002952C0" w:rsidRDefault="002952C0" w:rsidP="00213EFA">
      <w:pPr>
        <w:tabs>
          <w:tab w:val="left" w:pos="-851"/>
        </w:tabs>
        <w:ind w:left="-851" w:firstLine="850"/>
        <w:jc w:val="both"/>
      </w:pPr>
    </w:p>
    <w:p w:rsidR="002952C0" w:rsidRDefault="002952C0" w:rsidP="00213EFA">
      <w:pPr>
        <w:tabs>
          <w:tab w:val="left" w:pos="-851"/>
        </w:tabs>
        <w:ind w:left="-851" w:firstLine="850"/>
        <w:jc w:val="both"/>
      </w:pPr>
      <w:r>
        <w:t>Пункт 18. «Запрещается на территориях общего пользования, прилегающих к объектам защиты, в том числе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оставлять емкости с легковоспламеняющимися и горючими жидкостями, горючими газами».</w:t>
      </w:r>
    </w:p>
    <w:p w:rsidR="002952C0" w:rsidRPr="00213EFA" w:rsidRDefault="002952C0" w:rsidP="00213EFA">
      <w:pPr>
        <w:tabs>
          <w:tab w:val="left" w:pos="-851"/>
        </w:tabs>
        <w:ind w:left="-851" w:firstLine="850"/>
        <w:jc w:val="both"/>
        <w:rPr>
          <w:sz w:val="4"/>
          <w:szCs w:val="4"/>
        </w:rPr>
      </w:pPr>
    </w:p>
    <w:p w:rsidR="002952C0" w:rsidRDefault="002952C0" w:rsidP="00213EFA">
      <w:pPr>
        <w:tabs>
          <w:tab w:val="left" w:pos="-851"/>
        </w:tabs>
        <w:ind w:left="-851" w:firstLine="850"/>
        <w:jc w:val="both"/>
      </w:pPr>
      <w:r>
        <w:t>Пункт 19. «Запрещается на территориях общего пользования поселений и городских округов, на территории садоводства или огородничества устраивать свалки горючих отходов»</w:t>
      </w:r>
    </w:p>
    <w:p w:rsidR="002952C0" w:rsidRPr="00213EFA" w:rsidRDefault="002952C0" w:rsidP="00213EFA">
      <w:pPr>
        <w:tabs>
          <w:tab w:val="left" w:pos="-851"/>
        </w:tabs>
        <w:ind w:left="-851" w:firstLine="850"/>
        <w:jc w:val="both"/>
        <w:rPr>
          <w:sz w:val="4"/>
          <w:szCs w:val="4"/>
        </w:rPr>
      </w:pPr>
    </w:p>
    <w:p w:rsidR="002952C0" w:rsidRDefault="002952C0" w:rsidP="00213EFA">
      <w:pPr>
        <w:tabs>
          <w:tab w:val="left" w:pos="-851"/>
        </w:tabs>
        <w:ind w:left="-851" w:firstLine="850"/>
        <w:jc w:val="both"/>
      </w:pPr>
      <w:r>
        <w:t>Пункт 72_1.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2952C0" w:rsidRDefault="002952C0" w:rsidP="00213EFA">
      <w:pPr>
        <w:tabs>
          <w:tab w:val="left" w:pos="-851"/>
        </w:tabs>
        <w:ind w:left="-851" w:firstLine="850"/>
        <w:jc w:val="both"/>
      </w:pPr>
      <w:r>
        <w:br/>
        <w:t>а) участок для выжигания сухой травянистой растительности располагается на расстоянии не ближе 50 метров от ближайшего объекта защиты;</w:t>
      </w:r>
    </w:p>
    <w:p w:rsidR="002952C0" w:rsidRDefault="002952C0" w:rsidP="00213EFA">
      <w:pPr>
        <w:tabs>
          <w:tab w:val="left" w:pos="-851"/>
        </w:tabs>
        <w:ind w:left="-851" w:firstLine="850"/>
        <w:jc w:val="both"/>
      </w:pPr>
      <w:r>
        <w:br/>
        <w:t>б)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2952C0" w:rsidRDefault="002952C0" w:rsidP="00213EFA">
      <w:pPr>
        <w:tabs>
          <w:tab w:val="left" w:pos="-851"/>
        </w:tabs>
        <w:ind w:left="-851" w:firstLine="850"/>
        <w:jc w:val="both"/>
      </w:pPr>
      <w:r>
        <w:br/>
        <w:t>в) на территории, включающей участок для выжигания сухой травянистой растительности, не действует особый противопожарный режим;</w:t>
      </w:r>
    </w:p>
    <w:p w:rsidR="002952C0" w:rsidRDefault="002952C0" w:rsidP="00213EFA">
      <w:pPr>
        <w:tabs>
          <w:tab w:val="left" w:pos="-851"/>
        </w:tabs>
        <w:ind w:left="-851" w:firstLine="850"/>
        <w:jc w:val="both"/>
      </w:pPr>
      <w:r>
        <w:br/>
        <w:t>г) лица, участвующие в выжигании сухой травянистой растительности, обеспечены первичными средствами пожаротушения.</w:t>
      </w:r>
    </w:p>
    <w:p w:rsidR="002952C0" w:rsidRDefault="002952C0" w:rsidP="00213EFA">
      <w:pPr>
        <w:tabs>
          <w:tab w:val="left" w:pos="-851"/>
        </w:tabs>
        <w:ind w:left="-851" w:firstLine="850"/>
        <w:jc w:val="both"/>
      </w:pPr>
    </w:p>
    <w:p w:rsidR="002952C0" w:rsidRDefault="002952C0" w:rsidP="00213EFA">
      <w:pPr>
        <w:tabs>
          <w:tab w:val="left" w:pos="-851"/>
        </w:tabs>
        <w:ind w:left="-851" w:firstLine="850"/>
        <w:jc w:val="both"/>
      </w:pPr>
      <w:r>
        <w:lastRenderedPageBreak/>
        <w:t xml:space="preserve">Пункт 72_3. </w:t>
      </w:r>
      <w:proofErr w:type="gramStart"/>
      <w: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2952C0" w:rsidRPr="00213EFA" w:rsidRDefault="002952C0" w:rsidP="00213EFA">
      <w:pPr>
        <w:tabs>
          <w:tab w:val="left" w:pos="-851"/>
        </w:tabs>
        <w:ind w:left="-851" w:firstLine="850"/>
        <w:jc w:val="both"/>
        <w:rPr>
          <w:sz w:val="8"/>
          <w:szCs w:val="8"/>
        </w:rPr>
      </w:pPr>
    </w:p>
    <w:p w:rsidR="00515573" w:rsidRDefault="00B93431" w:rsidP="00515573">
      <w:pPr>
        <w:tabs>
          <w:tab w:val="left" w:pos="-851"/>
        </w:tabs>
        <w:ind w:left="-851" w:firstLine="850"/>
      </w:pPr>
      <w:r>
        <w:t>Пункт 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2952C0" w:rsidRDefault="00B93431" w:rsidP="00515573">
      <w:pPr>
        <w:tabs>
          <w:tab w:val="left" w:pos="-851"/>
        </w:tabs>
        <w:ind w:left="-851" w:firstLine="850"/>
      </w:pPr>
      <w:r>
        <w:br/>
        <w:t>Временные строения должны располагаться на расстоянии не менее 15 метров от других зданий и сооружений или у противопожарных стен.</w:t>
      </w:r>
      <w:r>
        <w:br/>
      </w:r>
      <w:r>
        <w:br/>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213EFA" w:rsidRDefault="00213EFA" w:rsidP="00213EFA">
      <w:pPr>
        <w:tabs>
          <w:tab w:val="left" w:pos="-851"/>
        </w:tabs>
        <w:ind w:left="-851" w:firstLine="850"/>
        <w:jc w:val="both"/>
      </w:pPr>
    </w:p>
    <w:p w:rsidR="00213EFA" w:rsidRPr="00213EFA" w:rsidRDefault="00213EFA" w:rsidP="00213EFA">
      <w:pPr>
        <w:tabs>
          <w:tab w:val="left" w:pos="-851"/>
        </w:tabs>
        <w:ind w:left="-851" w:firstLine="850"/>
        <w:jc w:val="both"/>
        <w:rPr>
          <w:b/>
        </w:rPr>
      </w:pPr>
      <w:r w:rsidRPr="00213EFA">
        <w:rPr>
          <w:b/>
        </w:rPr>
        <w:t>Несоблюдение данных требований является нарушением, предусмотренным статьей 20.4 «Кодекса Российской Федерации об административных правонарушениях», в соответствии с которой:</w:t>
      </w:r>
    </w:p>
    <w:p w:rsidR="00213EFA" w:rsidRPr="00515573" w:rsidRDefault="00213EFA" w:rsidP="00213EFA">
      <w:pPr>
        <w:tabs>
          <w:tab w:val="left" w:pos="-851"/>
        </w:tabs>
        <w:ind w:left="-851" w:firstLine="850"/>
        <w:jc w:val="both"/>
        <w:rPr>
          <w:sz w:val="12"/>
          <w:szCs w:val="12"/>
        </w:rPr>
      </w:pPr>
    </w:p>
    <w:p w:rsidR="00213EFA" w:rsidRDefault="00213EFA" w:rsidP="00213EFA">
      <w:pPr>
        <w:tabs>
          <w:tab w:val="left" w:pos="-851"/>
        </w:tabs>
        <w:ind w:left="-851" w:firstLine="540"/>
        <w:jc w:val="both"/>
      </w:pPr>
      <w:r>
        <w:rPr>
          <w:rStyle w:val="blk"/>
        </w:rPr>
        <w:t xml:space="preserve">Часть 1. Нарушение требований пожарной безопасности, за исключением случаев, предусмотренных </w:t>
      </w:r>
      <w:hyperlink r:id="rId4" w:anchor="dst2431" w:history="1">
        <w:r>
          <w:rPr>
            <w:rStyle w:val="a3"/>
          </w:rPr>
          <w:t>статьями 8.32</w:t>
        </w:r>
      </w:hyperlink>
      <w:r>
        <w:rPr>
          <w:rStyle w:val="blk"/>
        </w:rPr>
        <w:t xml:space="preserve"> и </w:t>
      </w:r>
      <w:hyperlink r:id="rId5" w:anchor="dst1506" w:history="1">
        <w:r>
          <w:rPr>
            <w:rStyle w:val="a3"/>
          </w:rPr>
          <w:t>11.16</w:t>
        </w:r>
      </w:hyperlink>
      <w:r>
        <w:rPr>
          <w:rStyle w:val="blk"/>
        </w:rPr>
        <w:t xml:space="preserve"> настоящего Кодекса и </w:t>
      </w:r>
      <w:hyperlink r:id="rId6" w:anchor="dst2697" w:history="1">
        <w:r>
          <w:rPr>
            <w:rStyle w:val="a3"/>
          </w:rPr>
          <w:t>частями 6</w:t>
        </w:r>
      </w:hyperlink>
      <w:r>
        <w:rPr>
          <w:rStyle w:val="blk"/>
        </w:rPr>
        <w:t xml:space="preserve">, </w:t>
      </w:r>
      <w:hyperlink r:id="rId7" w:anchor="dst3831" w:history="1">
        <w:r>
          <w:rPr>
            <w:rStyle w:val="a3"/>
          </w:rPr>
          <w:t>6.1</w:t>
        </w:r>
      </w:hyperlink>
      <w:r>
        <w:rPr>
          <w:rStyle w:val="blk"/>
        </w:rPr>
        <w:t xml:space="preserve"> и </w:t>
      </w:r>
      <w:hyperlink r:id="rId8" w:anchor="dst2699" w:history="1">
        <w:r>
          <w:rPr>
            <w:rStyle w:val="a3"/>
          </w:rPr>
          <w:t>7</w:t>
        </w:r>
      </w:hyperlink>
      <w:r>
        <w:rPr>
          <w:rStyle w:val="blk"/>
        </w:rPr>
        <w:t xml:space="preserve"> настоящей статьи, -</w:t>
      </w:r>
    </w:p>
    <w:p w:rsidR="00213EFA" w:rsidRDefault="00213EFA" w:rsidP="00213EFA">
      <w:pPr>
        <w:tabs>
          <w:tab w:val="left" w:pos="-851"/>
        </w:tabs>
        <w:ind w:left="-851" w:firstLine="540"/>
        <w:jc w:val="both"/>
        <w:rPr>
          <w:rStyle w:val="blk"/>
        </w:rPr>
      </w:pPr>
      <w:bookmarkStart w:id="0" w:name="dst7816"/>
      <w:bookmarkEnd w:id="0"/>
      <w:proofErr w:type="gramStart"/>
      <w:r>
        <w:rPr>
          <w:rStyle w:val="blk"/>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515573" w:rsidRPr="00515573" w:rsidRDefault="00515573" w:rsidP="00213EFA">
      <w:pPr>
        <w:tabs>
          <w:tab w:val="left" w:pos="-851"/>
        </w:tabs>
        <w:ind w:left="-851" w:firstLine="540"/>
        <w:jc w:val="both"/>
        <w:rPr>
          <w:rStyle w:val="blk"/>
          <w:sz w:val="12"/>
          <w:szCs w:val="12"/>
        </w:rPr>
      </w:pPr>
    </w:p>
    <w:p w:rsidR="00213EFA" w:rsidRPr="00213EFA" w:rsidRDefault="00213EFA" w:rsidP="00213EFA">
      <w:pPr>
        <w:tabs>
          <w:tab w:val="left" w:pos="-851"/>
        </w:tabs>
        <w:ind w:left="-851" w:firstLine="540"/>
        <w:jc w:val="both"/>
        <w:rPr>
          <w:sz w:val="4"/>
          <w:szCs w:val="4"/>
        </w:rPr>
      </w:pPr>
    </w:p>
    <w:p w:rsidR="00213EFA" w:rsidRDefault="00213EFA" w:rsidP="00213EFA">
      <w:pPr>
        <w:tabs>
          <w:tab w:val="left" w:pos="-851"/>
        </w:tabs>
        <w:ind w:left="-851" w:firstLine="540"/>
        <w:jc w:val="both"/>
      </w:pPr>
      <w:bookmarkStart w:id="1" w:name="dst7817"/>
      <w:bookmarkEnd w:id="1"/>
      <w:r>
        <w:rPr>
          <w:rStyle w:val="blk"/>
        </w:rPr>
        <w:t xml:space="preserve">Часть 2. Те же действия, совершенные в условиях </w:t>
      </w:r>
      <w:hyperlink r:id="rId9" w:anchor="dst100306" w:history="1">
        <w:r>
          <w:rPr>
            <w:rStyle w:val="a3"/>
          </w:rPr>
          <w:t>особого противопожарного режима</w:t>
        </w:r>
      </w:hyperlink>
      <w:r>
        <w:rPr>
          <w:rStyle w:val="blk"/>
        </w:rPr>
        <w:t>, -</w:t>
      </w:r>
    </w:p>
    <w:p w:rsidR="00213EFA" w:rsidRDefault="00213EFA" w:rsidP="00213EFA">
      <w:pPr>
        <w:tabs>
          <w:tab w:val="left" w:pos="-851"/>
        </w:tabs>
        <w:ind w:left="-851" w:firstLine="540"/>
        <w:jc w:val="both"/>
        <w:rPr>
          <w:rStyle w:val="blk"/>
        </w:rPr>
      </w:pPr>
      <w:bookmarkStart w:id="2" w:name="dst7818"/>
      <w:bookmarkEnd w:id="2"/>
      <w:proofErr w:type="gramStart"/>
      <w:r>
        <w:rPr>
          <w:rStyle w:val="blk"/>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roofErr w:type="gramEnd"/>
    </w:p>
    <w:p w:rsidR="00213EFA" w:rsidRPr="00515573" w:rsidRDefault="00213EFA" w:rsidP="00213EFA">
      <w:pPr>
        <w:tabs>
          <w:tab w:val="left" w:pos="-851"/>
        </w:tabs>
        <w:ind w:left="-851" w:firstLine="540"/>
        <w:jc w:val="both"/>
        <w:rPr>
          <w:rStyle w:val="blk"/>
          <w:sz w:val="12"/>
          <w:szCs w:val="12"/>
        </w:rPr>
      </w:pPr>
    </w:p>
    <w:p w:rsidR="00213EFA" w:rsidRDefault="00213EFA" w:rsidP="00213EFA">
      <w:pPr>
        <w:tabs>
          <w:tab w:val="left" w:pos="-851"/>
        </w:tabs>
        <w:ind w:left="-851" w:firstLine="540"/>
      </w:pPr>
      <w:r>
        <w:rPr>
          <w:rStyle w:val="blk"/>
        </w:rPr>
        <w:t>Часть 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515573" w:rsidRDefault="00213EFA" w:rsidP="00213EFA">
      <w:pPr>
        <w:tabs>
          <w:tab w:val="left" w:pos="-851"/>
        </w:tabs>
        <w:ind w:left="-851" w:firstLine="540"/>
        <w:rPr>
          <w:rStyle w:val="blk"/>
        </w:rPr>
      </w:pPr>
      <w:bookmarkStart w:id="3" w:name="dst2698"/>
      <w:bookmarkEnd w:id="3"/>
      <w:r>
        <w:rPr>
          <w:rStyle w:val="blk"/>
        </w:rP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w:t>
      </w:r>
    </w:p>
    <w:p w:rsidR="00213EFA" w:rsidRDefault="00213EFA" w:rsidP="00213EFA">
      <w:pPr>
        <w:tabs>
          <w:tab w:val="left" w:pos="-851"/>
        </w:tabs>
        <w:ind w:left="-851" w:firstLine="540"/>
        <w:rPr>
          <w:rStyle w:val="blk"/>
        </w:rPr>
      </w:pPr>
      <w:r>
        <w:rPr>
          <w:rStyle w:val="blk"/>
        </w:rPr>
        <w:t>на юридических лиц - от трехсот пятидесяти тысяч до четырехсот тысяч рублей.</w:t>
      </w:r>
    </w:p>
    <w:p w:rsidR="00213EFA" w:rsidRPr="00515573" w:rsidRDefault="00213EFA" w:rsidP="00213EFA">
      <w:pPr>
        <w:tabs>
          <w:tab w:val="left" w:pos="-851"/>
        </w:tabs>
        <w:ind w:left="-851" w:firstLine="540"/>
        <w:rPr>
          <w:sz w:val="12"/>
          <w:szCs w:val="12"/>
        </w:rPr>
      </w:pPr>
    </w:p>
    <w:p w:rsidR="00213EFA" w:rsidRDefault="00213EFA" w:rsidP="00213EFA">
      <w:pPr>
        <w:tabs>
          <w:tab w:val="left" w:pos="-851"/>
        </w:tabs>
        <w:ind w:left="-851" w:firstLine="540"/>
      </w:pPr>
      <w:bookmarkStart w:id="4" w:name="dst3831"/>
      <w:bookmarkEnd w:id="4"/>
      <w:r>
        <w:rPr>
          <w:rStyle w:val="blk"/>
        </w:rPr>
        <w:t>Часть 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C02CA3" w:rsidRDefault="00213EFA" w:rsidP="00213EFA">
      <w:pPr>
        <w:tabs>
          <w:tab w:val="left" w:pos="-851"/>
        </w:tabs>
        <w:ind w:left="-851" w:firstLine="540"/>
      </w:pPr>
      <w:bookmarkStart w:id="5" w:name="dst3832"/>
      <w:bookmarkEnd w:id="5"/>
      <w:r>
        <w:rPr>
          <w:rStyle w:val="blk"/>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sectPr w:rsidR="00C02CA3" w:rsidSect="002952C0">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51C0D"/>
    <w:rsid w:val="00213EFA"/>
    <w:rsid w:val="002952C0"/>
    <w:rsid w:val="00515573"/>
    <w:rsid w:val="00751C0D"/>
    <w:rsid w:val="00B93431"/>
    <w:rsid w:val="00C02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0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13EF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952C0"/>
    <w:pPr>
      <w:spacing w:before="100" w:beforeAutospacing="1" w:after="100" w:afterAutospacing="1"/>
    </w:pPr>
  </w:style>
  <w:style w:type="character" w:styleId="a3">
    <w:name w:val="Hyperlink"/>
    <w:basedOn w:val="a0"/>
    <w:uiPriority w:val="99"/>
    <w:semiHidden/>
    <w:unhideWhenUsed/>
    <w:rsid w:val="002952C0"/>
    <w:rPr>
      <w:color w:val="0000FF"/>
      <w:u w:val="single"/>
    </w:rPr>
  </w:style>
  <w:style w:type="character" w:customStyle="1" w:styleId="10">
    <w:name w:val="Заголовок 1 Знак"/>
    <w:basedOn w:val="a0"/>
    <w:link w:val="1"/>
    <w:uiPriority w:val="9"/>
    <w:rsid w:val="00213EFA"/>
    <w:rPr>
      <w:rFonts w:ascii="Times New Roman" w:eastAsia="Times New Roman" w:hAnsi="Times New Roman" w:cs="Times New Roman"/>
      <w:b/>
      <w:bCs/>
      <w:kern w:val="36"/>
      <w:sz w:val="48"/>
      <w:szCs w:val="48"/>
      <w:lang w:eastAsia="ru-RU"/>
    </w:rPr>
  </w:style>
  <w:style w:type="character" w:customStyle="1" w:styleId="blk">
    <w:name w:val="blk"/>
    <w:basedOn w:val="a0"/>
    <w:rsid w:val="00213EFA"/>
  </w:style>
  <w:style w:type="character" w:customStyle="1" w:styleId="hl">
    <w:name w:val="hl"/>
    <w:basedOn w:val="a0"/>
    <w:rsid w:val="00213EFA"/>
  </w:style>
</w:styles>
</file>

<file path=word/webSettings.xml><?xml version="1.0" encoding="utf-8"?>
<w:webSettings xmlns:r="http://schemas.openxmlformats.org/officeDocument/2006/relationships" xmlns:w="http://schemas.openxmlformats.org/wordprocessingml/2006/main">
  <w:divs>
    <w:div w:id="895044054">
      <w:bodyDiv w:val="1"/>
      <w:marLeft w:val="0"/>
      <w:marRight w:val="0"/>
      <w:marTop w:val="0"/>
      <w:marBottom w:val="0"/>
      <w:divBdr>
        <w:top w:val="none" w:sz="0" w:space="0" w:color="auto"/>
        <w:left w:val="none" w:sz="0" w:space="0" w:color="auto"/>
        <w:bottom w:val="none" w:sz="0" w:space="0" w:color="auto"/>
        <w:right w:val="none" w:sz="0" w:space="0" w:color="auto"/>
      </w:divBdr>
    </w:div>
    <w:div w:id="1087271546">
      <w:bodyDiv w:val="1"/>
      <w:marLeft w:val="0"/>
      <w:marRight w:val="0"/>
      <w:marTop w:val="0"/>
      <w:marBottom w:val="0"/>
      <w:divBdr>
        <w:top w:val="none" w:sz="0" w:space="0" w:color="auto"/>
        <w:left w:val="none" w:sz="0" w:space="0" w:color="auto"/>
        <w:bottom w:val="none" w:sz="0" w:space="0" w:color="auto"/>
        <w:right w:val="none" w:sz="0" w:space="0" w:color="auto"/>
      </w:divBdr>
      <w:divsChild>
        <w:div w:id="1504782021">
          <w:marLeft w:val="0"/>
          <w:marRight w:val="0"/>
          <w:marTop w:val="0"/>
          <w:marBottom w:val="0"/>
          <w:divBdr>
            <w:top w:val="none" w:sz="0" w:space="0" w:color="auto"/>
            <w:left w:val="none" w:sz="0" w:space="0" w:color="auto"/>
            <w:bottom w:val="none" w:sz="0" w:space="0" w:color="auto"/>
            <w:right w:val="none" w:sz="0" w:space="0" w:color="auto"/>
          </w:divBdr>
        </w:div>
        <w:div w:id="2049329736">
          <w:marLeft w:val="0"/>
          <w:marRight w:val="0"/>
          <w:marTop w:val="0"/>
          <w:marBottom w:val="0"/>
          <w:divBdr>
            <w:top w:val="none" w:sz="0" w:space="0" w:color="auto"/>
            <w:left w:val="none" w:sz="0" w:space="0" w:color="auto"/>
            <w:bottom w:val="none" w:sz="0" w:space="0" w:color="auto"/>
            <w:right w:val="none" w:sz="0" w:space="0" w:color="auto"/>
          </w:divBdr>
        </w:div>
        <w:div w:id="1127628668">
          <w:marLeft w:val="0"/>
          <w:marRight w:val="0"/>
          <w:marTop w:val="0"/>
          <w:marBottom w:val="0"/>
          <w:divBdr>
            <w:top w:val="none" w:sz="0" w:space="0" w:color="auto"/>
            <w:left w:val="none" w:sz="0" w:space="0" w:color="auto"/>
            <w:bottom w:val="none" w:sz="0" w:space="0" w:color="auto"/>
            <w:right w:val="none" w:sz="0" w:space="0" w:color="auto"/>
          </w:divBdr>
        </w:div>
        <w:div w:id="246305683">
          <w:marLeft w:val="0"/>
          <w:marRight w:val="0"/>
          <w:marTop w:val="0"/>
          <w:marBottom w:val="0"/>
          <w:divBdr>
            <w:top w:val="none" w:sz="0" w:space="0" w:color="auto"/>
            <w:left w:val="none" w:sz="0" w:space="0" w:color="auto"/>
            <w:bottom w:val="none" w:sz="0" w:space="0" w:color="auto"/>
            <w:right w:val="none" w:sz="0" w:space="0" w:color="auto"/>
          </w:divBdr>
        </w:div>
      </w:divsChild>
    </w:div>
    <w:div w:id="1221863087">
      <w:bodyDiv w:val="1"/>
      <w:marLeft w:val="0"/>
      <w:marRight w:val="0"/>
      <w:marTop w:val="0"/>
      <w:marBottom w:val="0"/>
      <w:divBdr>
        <w:top w:val="none" w:sz="0" w:space="0" w:color="auto"/>
        <w:left w:val="none" w:sz="0" w:space="0" w:color="auto"/>
        <w:bottom w:val="none" w:sz="0" w:space="0" w:color="auto"/>
        <w:right w:val="none" w:sz="0" w:space="0" w:color="auto"/>
      </w:divBdr>
      <w:divsChild>
        <w:div w:id="738794009">
          <w:marLeft w:val="0"/>
          <w:marRight w:val="0"/>
          <w:marTop w:val="0"/>
          <w:marBottom w:val="0"/>
          <w:divBdr>
            <w:top w:val="none" w:sz="0" w:space="0" w:color="auto"/>
            <w:left w:val="none" w:sz="0" w:space="0" w:color="auto"/>
            <w:bottom w:val="none" w:sz="0" w:space="0" w:color="auto"/>
            <w:right w:val="none" w:sz="0" w:space="0" w:color="auto"/>
          </w:divBdr>
        </w:div>
        <w:div w:id="825896538">
          <w:marLeft w:val="0"/>
          <w:marRight w:val="0"/>
          <w:marTop w:val="0"/>
          <w:marBottom w:val="0"/>
          <w:divBdr>
            <w:top w:val="none" w:sz="0" w:space="0" w:color="auto"/>
            <w:left w:val="none" w:sz="0" w:space="0" w:color="auto"/>
            <w:bottom w:val="none" w:sz="0" w:space="0" w:color="auto"/>
            <w:right w:val="none" w:sz="0" w:space="0" w:color="auto"/>
          </w:divBdr>
        </w:div>
        <w:div w:id="1693074127">
          <w:marLeft w:val="0"/>
          <w:marRight w:val="0"/>
          <w:marTop w:val="0"/>
          <w:marBottom w:val="0"/>
          <w:divBdr>
            <w:top w:val="none" w:sz="0" w:space="0" w:color="auto"/>
            <w:left w:val="none" w:sz="0" w:space="0" w:color="auto"/>
            <w:bottom w:val="none" w:sz="0" w:space="0" w:color="auto"/>
            <w:right w:val="none" w:sz="0" w:space="0" w:color="auto"/>
          </w:divBdr>
          <w:divsChild>
            <w:div w:id="1425539792">
              <w:marLeft w:val="0"/>
              <w:marRight w:val="0"/>
              <w:marTop w:val="0"/>
              <w:marBottom w:val="0"/>
              <w:divBdr>
                <w:top w:val="none" w:sz="0" w:space="0" w:color="auto"/>
                <w:left w:val="none" w:sz="0" w:space="0" w:color="auto"/>
                <w:bottom w:val="none" w:sz="0" w:space="0" w:color="auto"/>
                <w:right w:val="none" w:sz="0" w:space="0" w:color="auto"/>
              </w:divBdr>
            </w:div>
          </w:divsChild>
        </w:div>
        <w:div w:id="861362235">
          <w:marLeft w:val="0"/>
          <w:marRight w:val="0"/>
          <w:marTop w:val="0"/>
          <w:marBottom w:val="0"/>
          <w:divBdr>
            <w:top w:val="none" w:sz="0" w:space="0" w:color="auto"/>
            <w:left w:val="none" w:sz="0" w:space="0" w:color="auto"/>
            <w:bottom w:val="none" w:sz="0" w:space="0" w:color="auto"/>
            <w:right w:val="none" w:sz="0" w:space="0" w:color="auto"/>
          </w:divBdr>
          <w:divsChild>
            <w:div w:id="451705028">
              <w:marLeft w:val="0"/>
              <w:marRight w:val="0"/>
              <w:marTop w:val="0"/>
              <w:marBottom w:val="0"/>
              <w:divBdr>
                <w:top w:val="none" w:sz="0" w:space="0" w:color="auto"/>
                <w:left w:val="none" w:sz="0" w:space="0" w:color="auto"/>
                <w:bottom w:val="none" w:sz="0" w:space="0" w:color="auto"/>
                <w:right w:val="none" w:sz="0" w:space="0" w:color="auto"/>
              </w:divBdr>
            </w:div>
          </w:divsChild>
        </w:div>
        <w:div w:id="1739745443">
          <w:marLeft w:val="0"/>
          <w:marRight w:val="0"/>
          <w:marTop w:val="0"/>
          <w:marBottom w:val="0"/>
          <w:divBdr>
            <w:top w:val="none" w:sz="0" w:space="0" w:color="auto"/>
            <w:left w:val="none" w:sz="0" w:space="0" w:color="auto"/>
            <w:bottom w:val="none" w:sz="0" w:space="0" w:color="auto"/>
            <w:right w:val="none" w:sz="0" w:space="0" w:color="auto"/>
          </w:divBdr>
        </w:div>
        <w:div w:id="1457604476">
          <w:marLeft w:val="0"/>
          <w:marRight w:val="0"/>
          <w:marTop w:val="0"/>
          <w:marBottom w:val="0"/>
          <w:divBdr>
            <w:top w:val="none" w:sz="0" w:space="0" w:color="auto"/>
            <w:left w:val="none" w:sz="0" w:space="0" w:color="auto"/>
            <w:bottom w:val="none" w:sz="0" w:space="0" w:color="auto"/>
            <w:right w:val="none" w:sz="0" w:space="0" w:color="auto"/>
          </w:divBdr>
        </w:div>
        <w:div w:id="1280717224">
          <w:marLeft w:val="0"/>
          <w:marRight w:val="0"/>
          <w:marTop w:val="0"/>
          <w:marBottom w:val="0"/>
          <w:divBdr>
            <w:top w:val="none" w:sz="0" w:space="0" w:color="auto"/>
            <w:left w:val="none" w:sz="0" w:space="0" w:color="auto"/>
            <w:bottom w:val="none" w:sz="0" w:space="0" w:color="auto"/>
            <w:right w:val="none" w:sz="0" w:space="0" w:color="auto"/>
          </w:divBdr>
          <w:divsChild>
            <w:div w:id="186069768">
              <w:marLeft w:val="0"/>
              <w:marRight w:val="0"/>
              <w:marTop w:val="0"/>
              <w:marBottom w:val="0"/>
              <w:divBdr>
                <w:top w:val="none" w:sz="0" w:space="0" w:color="auto"/>
                <w:left w:val="none" w:sz="0" w:space="0" w:color="auto"/>
                <w:bottom w:val="none" w:sz="0" w:space="0" w:color="auto"/>
                <w:right w:val="none" w:sz="0" w:space="0" w:color="auto"/>
              </w:divBdr>
            </w:div>
          </w:divsChild>
        </w:div>
        <w:div w:id="1316491971">
          <w:marLeft w:val="0"/>
          <w:marRight w:val="0"/>
          <w:marTop w:val="0"/>
          <w:marBottom w:val="0"/>
          <w:divBdr>
            <w:top w:val="none" w:sz="0" w:space="0" w:color="auto"/>
            <w:left w:val="none" w:sz="0" w:space="0" w:color="auto"/>
            <w:bottom w:val="none" w:sz="0" w:space="0" w:color="auto"/>
            <w:right w:val="none" w:sz="0" w:space="0" w:color="auto"/>
          </w:divBdr>
          <w:divsChild>
            <w:div w:id="1660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7329">
      <w:bodyDiv w:val="1"/>
      <w:marLeft w:val="0"/>
      <w:marRight w:val="0"/>
      <w:marTop w:val="0"/>
      <w:marBottom w:val="0"/>
      <w:divBdr>
        <w:top w:val="none" w:sz="0" w:space="0" w:color="auto"/>
        <w:left w:val="none" w:sz="0" w:space="0" w:color="auto"/>
        <w:bottom w:val="none" w:sz="0" w:space="0" w:color="auto"/>
        <w:right w:val="none" w:sz="0" w:space="0" w:color="auto"/>
      </w:divBdr>
    </w:div>
    <w:div w:id="21005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9275/9a42a7dcbc6d4d4b091d2e491b723161b4912163/" TargetMode="External"/><Relationship Id="rId3" Type="http://schemas.openxmlformats.org/officeDocument/2006/relationships/webSettings" Target="webSettings.xml"/><Relationship Id="rId7" Type="http://schemas.openxmlformats.org/officeDocument/2006/relationships/hyperlink" Target="http://www.consultant.ru/document/cons_doc_LAW_349275/9a42a7dcbc6d4d4b091d2e491b723161b49121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9275/9a42a7dcbc6d4d4b091d2e491b723161b4912163/" TargetMode="External"/><Relationship Id="rId11" Type="http://schemas.openxmlformats.org/officeDocument/2006/relationships/theme" Target="theme/theme1.xml"/><Relationship Id="rId5" Type="http://schemas.openxmlformats.org/officeDocument/2006/relationships/hyperlink" Target="http://www.consultant.ru/document/cons_doc_LAW_349275/be5354a8079bd0b55f654308b9c4a5b2d08c18de/" TargetMode="External"/><Relationship Id="rId10" Type="http://schemas.openxmlformats.org/officeDocument/2006/relationships/fontTable" Target="fontTable.xml"/><Relationship Id="rId4" Type="http://schemas.openxmlformats.org/officeDocument/2006/relationships/hyperlink" Target="http://www.consultant.ru/document/cons_doc_LAW_349275/3451df28a5d84be6817928ab88c3da04bb25404e/" TargetMode="External"/><Relationship Id="rId9" Type="http://schemas.openxmlformats.org/officeDocument/2006/relationships/hyperlink" Target="http://www.consultant.ru/document/cons_doc_LAW_341901/2dafcc9f8f2d8b800512e96ec8914d9155752f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2020-04-17T09:29:00Z</dcterms:created>
  <dcterms:modified xsi:type="dcterms:W3CDTF">2020-04-17T11:02:00Z</dcterms:modified>
</cp:coreProperties>
</file>